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0756" w14:textId="77777777" w:rsidR="00BA7DE2" w:rsidRDefault="00BA7DE2" w:rsidP="00BA7DE2">
      <w:pPr>
        <w:rPr>
          <w:rFonts w:eastAsia="MS Mincho"/>
        </w:rPr>
      </w:pPr>
      <w:r>
        <w:rPr>
          <w:rFonts w:eastAsia="MS Mincho"/>
          <w:b/>
          <w:bCs/>
        </w:rPr>
        <w:t>Facilities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7110(a)</w:t>
      </w:r>
    </w:p>
    <w:p w14:paraId="59ED64A1" w14:textId="77777777" w:rsidR="00BA7DE2" w:rsidRDefault="00BA7DE2" w:rsidP="00BA7DE2">
      <w:pPr>
        <w:rPr>
          <w:rFonts w:eastAsia="MS Mincho"/>
        </w:rPr>
      </w:pPr>
    </w:p>
    <w:p w14:paraId="033A4E08" w14:textId="77777777" w:rsidR="00BA7DE2" w:rsidRDefault="00BA7DE2" w:rsidP="00BA7DE2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FACILITIES MASTER PLAN</w:t>
      </w:r>
    </w:p>
    <w:p w14:paraId="46026944" w14:textId="77777777" w:rsidR="00BA7DE2" w:rsidRDefault="00BA7DE2" w:rsidP="00BA7DE2">
      <w:pPr>
        <w:rPr>
          <w:rFonts w:eastAsia="MS Mincho"/>
        </w:rPr>
      </w:pPr>
    </w:p>
    <w:p w14:paraId="658D396E" w14:textId="785FDB3C" w:rsidR="00BA7DE2" w:rsidRDefault="00BA7DE2" w:rsidP="00BA7DE2">
      <w:pPr>
        <w:rPr>
          <w:rFonts w:eastAsia="MS Mincho"/>
        </w:rPr>
      </w:pPr>
      <w:r>
        <w:rPr>
          <w:rFonts w:eastAsia="MS Mincho"/>
        </w:rPr>
        <w:t xml:space="preserve">The Governing Board recognizes the importance of long-range planning for school facilities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help meet the changing needs of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Regional Occupational Program (ROP) students and to help ensure that resources are allocated in an efficient and effective manner.  To that end, the Board directs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designee to develop and maintain a master plan for </w:t>
      </w:r>
      <w:r>
        <w:rPr>
          <w:rFonts w:eastAsia="MS Mincho"/>
        </w:rPr>
        <w:t>CCA</w:t>
      </w:r>
      <w:r>
        <w:rPr>
          <w:rFonts w:eastAsia="MS Mincho"/>
        </w:rPr>
        <w:t xml:space="preserve"> facilities.</w:t>
      </w:r>
    </w:p>
    <w:p w14:paraId="75E12818" w14:textId="77777777" w:rsidR="00BA7DE2" w:rsidRDefault="00BA7DE2" w:rsidP="00BA7DE2">
      <w:pPr>
        <w:rPr>
          <w:rFonts w:eastAsia="MS Mincho"/>
        </w:rPr>
      </w:pPr>
    </w:p>
    <w:p w14:paraId="59CC1994" w14:textId="22A3DFBC" w:rsidR="00BA7DE2" w:rsidRDefault="00BA7DE2" w:rsidP="00BA7DE2">
      <w:pPr>
        <w:rPr>
          <w:rFonts w:eastAsia="MS Mincho"/>
        </w:rPr>
      </w:pPr>
      <w:r>
        <w:rPr>
          <w:rFonts w:eastAsia="MS Mincho"/>
        </w:rPr>
        <w:t xml:space="preserve">The plan shall describe </w:t>
      </w:r>
      <w:r>
        <w:rPr>
          <w:rFonts w:eastAsia="MS Mincho"/>
        </w:rPr>
        <w:t>CCA’s</w:t>
      </w:r>
      <w:r>
        <w:rPr>
          <w:rFonts w:eastAsia="MS Mincho"/>
        </w:rPr>
        <w:t xml:space="preserve"> anticipated short- and long-term facilities needs and priorities and shall be aligned with </w:t>
      </w:r>
      <w:r>
        <w:rPr>
          <w:rFonts w:eastAsia="MS Mincho"/>
        </w:rPr>
        <w:t>CCA’s</w:t>
      </w:r>
      <w:r>
        <w:rPr>
          <w:rFonts w:eastAsia="MS Mincho"/>
        </w:rPr>
        <w:t xml:space="preserve"> educational goals.</w:t>
      </w:r>
    </w:p>
    <w:p w14:paraId="05FE1C29" w14:textId="77777777" w:rsidR="00BA7DE2" w:rsidRDefault="00BA7DE2" w:rsidP="00BA7DE2">
      <w:pPr>
        <w:rPr>
          <w:rFonts w:eastAsia="MS Mincho"/>
        </w:rPr>
      </w:pPr>
    </w:p>
    <w:p w14:paraId="008AF8C3" w14:textId="1DAA6F32" w:rsidR="00BA7DE2" w:rsidRDefault="00BA7DE2" w:rsidP="00BA7DE2">
      <w:pPr>
        <w:rPr>
          <w:rFonts w:eastAsia="MS Mincho"/>
        </w:rPr>
      </w:pPr>
      <w:r>
        <w:rPr>
          <w:rFonts w:eastAsia="MS Mincho"/>
        </w:rPr>
        <w:t xml:space="preserve">Because </w:t>
      </w:r>
      <w:r>
        <w:rPr>
          <w:rFonts w:eastAsia="MS Mincho"/>
        </w:rPr>
        <w:t>CCA</w:t>
      </w:r>
      <w:r>
        <w:rPr>
          <w:rFonts w:eastAsia="MS Mincho"/>
        </w:rPr>
        <w:t xml:space="preserve"> does not own the land on which </w:t>
      </w:r>
      <w:r>
        <w:rPr>
          <w:rFonts w:eastAsia="MS Mincho"/>
        </w:rPr>
        <w:t>CCA</w:t>
      </w:r>
      <w:r>
        <w:rPr>
          <w:rFonts w:eastAsia="MS Mincho"/>
        </w:rPr>
        <w:t xml:space="preserve"> classrooms and other buildings are located, close consultation with Capistrano Unified School District (owner of the property) will be followed.</w:t>
      </w:r>
    </w:p>
    <w:p w14:paraId="6E75F63A" w14:textId="77777777" w:rsidR="00BA7DE2" w:rsidRDefault="00BA7DE2" w:rsidP="00BA7DE2">
      <w:pPr>
        <w:rPr>
          <w:rFonts w:eastAsia="MS Mincho"/>
        </w:rPr>
      </w:pPr>
    </w:p>
    <w:p w14:paraId="3E74016A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0000 - Vision)</w:t>
      </w:r>
    </w:p>
    <w:p w14:paraId="03670592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7000 - Concepts and Roles)</w:t>
      </w:r>
    </w:p>
    <w:p w14:paraId="224D5F26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7111 - Evaluating Existing Buildings)</w:t>
      </w:r>
    </w:p>
    <w:p w14:paraId="1CA68CD0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7210 - Facilities Financing)</w:t>
      </w:r>
    </w:p>
    <w:p w14:paraId="3C74B5F2" w14:textId="77777777" w:rsidR="00BA7DE2" w:rsidRDefault="00BA7DE2" w:rsidP="00BA7DE2">
      <w:pPr>
        <w:rPr>
          <w:rFonts w:eastAsia="MS Mincho"/>
          <w:i/>
          <w:sz w:val="20"/>
        </w:rPr>
      </w:pPr>
    </w:p>
    <w:p w14:paraId="6474C919" w14:textId="4239DCE6" w:rsidR="00BA7DE2" w:rsidRDefault="00BA7DE2" w:rsidP="00BA7DE2">
      <w:pPr>
        <w:rPr>
          <w:rFonts w:eastAsia="MS Mincho"/>
        </w:rPr>
      </w:pPr>
      <w:r>
        <w:rPr>
          <w:rFonts w:eastAsia="MS Mincho"/>
        </w:rPr>
        <w:t xml:space="preserve">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ensure that staff, parents/guardians, students, and business and community representatives are kept informed of the need for construction and modernization of facilities and of </w:t>
      </w:r>
      <w:r>
        <w:rPr>
          <w:rFonts w:eastAsia="MS Mincho"/>
        </w:rPr>
        <w:t>CCA’s</w:t>
      </w:r>
      <w:r>
        <w:rPr>
          <w:rFonts w:eastAsia="MS Mincho"/>
        </w:rPr>
        <w:t xml:space="preserve"> plans for facilities.  The Executive Director or designee may also establish a facilities committee that shall meet at regular intervals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give community members opportunities to provide input into the planning process.  The committee may consult local governmental and state planning agencies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ensure compliance with local and state standards.</w:t>
      </w:r>
    </w:p>
    <w:p w14:paraId="6F53A928" w14:textId="77777777" w:rsidR="00BA7DE2" w:rsidRDefault="00BA7DE2" w:rsidP="00BA7DE2">
      <w:pPr>
        <w:rPr>
          <w:rFonts w:eastAsia="MS Mincho"/>
        </w:rPr>
      </w:pPr>
    </w:p>
    <w:p w14:paraId="778D6501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1220 - Citizen Advisory Committees)</w:t>
      </w:r>
    </w:p>
    <w:p w14:paraId="0668D2C6" w14:textId="77777777" w:rsidR="00BA7DE2" w:rsidRDefault="00BA7DE2" w:rsidP="00BA7DE2">
      <w:pPr>
        <w:rPr>
          <w:rFonts w:eastAsia="MS Mincho"/>
        </w:rPr>
      </w:pPr>
    </w:p>
    <w:p w14:paraId="7E6AAFB2" w14:textId="77777777" w:rsidR="00BA7DE2" w:rsidRDefault="00BA7DE2" w:rsidP="00BA7DE2">
      <w:pPr>
        <w:rPr>
          <w:rFonts w:eastAsia="MS Mincho"/>
        </w:rPr>
      </w:pPr>
    </w:p>
    <w:p w14:paraId="5DE34197" w14:textId="77777777" w:rsidR="00BA7DE2" w:rsidRDefault="00BA7DE2" w:rsidP="00BA7DE2">
      <w:pPr>
        <w:rPr>
          <w:rFonts w:eastAsia="MS Mincho"/>
        </w:rPr>
      </w:pPr>
    </w:p>
    <w:p w14:paraId="7258167E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(see next page)</w:t>
      </w:r>
    </w:p>
    <w:p w14:paraId="3863DB68" w14:textId="77777777" w:rsidR="00BA7DE2" w:rsidRDefault="00BA7DE2" w:rsidP="00BA7DE2">
      <w:pPr>
        <w:rPr>
          <w:rFonts w:eastAsia="MS Mincho"/>
        </w:rPr>
      </w:pPr>
    </w:p>
    <w:p w14:paraId="69E4F387" w14:textId="77777777" w:rsidR="00BA7DE2" w:rsidRDefault="00BA7DE2" w:rsidP="00BA7DE2">
      <w:pPr>
        <w:rPr>
          <w:rFonts w:eastAsia="MS Mincho"/>
        </w:rPr>
      </w:pPr>
    </w:p>
    <w:p w14:paraId="0F5F7E94" w14:textId="77777777" w:rsidR="00BA7DE2" w:rsidRDefault="00BA7DE2" w:rsidP="00BA7DE2">
      <w:pPr>
        <w:rPr>
          <w:rFonts w:eastAsia="MS Mincho"/>
        </w:rPr>
      </w:pPr>
    </w:p>
    <w:p w14:paraId="5D87A2E5" w14:textId="77777777" w:rsidR="00BA7DE2" w:rsidRDefault="00BA7DE2" w:rsidP="00BA7DE2">
      <w:pPr>
        <w:rPr>
          <w:rFonts w:eastAsia="MS Mincho"/>
        </w:rPr>
      </w:pPr>
    </w:p>
    <w:p w14:paraId="37810EB2" w14:textId="77777777" w:rsidR="00BA7DE2" w:rsidRDefault="00BA7DE2" w:rsidP="00BA7DE2">
      <w:pPr>
        <w:rPr>
          <w:rFonts w:eastAsia="MS Mincho"/>
        </w:rPr>
      </w:pPr>
    </w:p>
    <w:p w14:paraId="6D1DA4E5" w14:textId="77777777" w:rsidR="00BA7DE2" w:rsidRDefault="00BA7DE2" w:rsidP="00BA7DE2">
      <w:pPr>
        <w:rPr>
          <w:rFonts w:eastAsia="MS Mincho"/>
        </w:rPr>
      </w:pPr>
    </w:p>
    <w:p w14:paraId="254BC40D" w14:textId="77777777" w:rsidR="00BA7DE2" w:rsidRDefault="00BA7DE2" w:rsidP="00BA7DE2">
      <w:pPr>
        <w:rPr>
          <w:rFonts w:eastAsia="MS Mincho"/>
        </w:rPr>
      </w:pPr>
    </w:p>
    <w:p w14:paraId="66ACFF10" w14:textId="77777777" w:rsidR="00BA7DE2" w:rsidRDefault="00BA7DE2" w:rsidP="00BA7DE2">
      <w:pPr>
        <w:rPr>
          <w:rFonts w:eastAsia="MS Mincho"/>
        </w:rPr>
      </w:pPr>
    </w:p>
    <w:p w14:paraId="15C1E893" w14:textId="77777777" w:rsidR="00BA7DE2" w:rsidRDefault="00BA7DE2" w:rsidP="00BA7DE2">
      <w:pPr>
        <w:rPr>
          <w:rFonts w:eastAsia="MS Mincho"/>
        </w:rPr>
      </w:pPr>
    </w:p>
    <w:p w14:paraId="4B04081F" w14:textId="77777777" w:rsidR="00BA7DE2" w:rsidRDefault="00BA7DE2" w:rsidP="00BA7DE2">
      <w:pPr>
        <w:rPr>
          <w:rFonts w:eastAsia="MS Mincho"/>
        </w:rPr>
      </w:pPr>
    </w:p>
    <w:p w14:paraId="74B87A5B" w14:textId="77777777" w:rsidR="00BA7DE2" w:rsidRDefault="00BA7DE2" w:rsidP="00BA7DE2">
      <w:pPr>
        <w:rPr>
          <w:rFonts w:eastAsia="MS Mincho"/>
        </w:rPr>
      </w:pPr>
    </w:p>
    <w:p w14:paraId="643AE0E1" w14:textId="77777777" w:rsidR="00BA7DE2" w:rsidRDefault="00BA7DE2" w:rsidP="00BA7DE2">
      <w:pPr>
        <w:rPr>
          <w:rFonts w:eastAsia="MS Mincho"/>
        </w:rPr>
      </w:pPr>
    </w:p>
    <w:p w14:paraId="41D20043" w14:textId="77777777" w:rsidR="00BA7DE2" w:rsidRDefault="00BA7DE2" w:rsidP="00BA7DE2">
      <w:pPr>
        <w:rPr>
          <w:rFonts w:eastAsia="MS Mincho"/>
        </w:rPr>
      </w:pPr>
    </w:p>
    <w:p w14:paraId="3060F317" w14:textId="77777777" w:rsidR="00BA7DE2" w:rsidRDefault="00BA7DE2" w:rsidP="00BA7DE2">
      <w:pPr>
        <w:rPr>
          <w:rFonts w:eastAsia="MS Mincho"/>
        </w:rPr>
      </w:pPr>
      <w:r>
        <w:rPr>
          <w:rFonts w:eastAsia="MS Mincho"/>
        </w:rPr>
        <w:lastRenderedPageBreak/>
        <w:tab/>
        <w:t>BP 7110(b)</w:t>
      </w:r>
    </w:p>
    <w:p w14:paraId="125A90A6" w14:textId="77777777" w:rsidR="00BA7DE2" w:rsidRDefault="00BA7DE2" w:rsidP="00BA7DE2">
      <w:pPr>
        <w:rPr>
          <w:rFonts w:eastAsia="MS Mincho"/>
        </w:rPr>
      </w:pPr>
    </w:p>
    <w:p w14:paraId="4491F8D9" w14:textId="77777777" w:rsidR="00BA7DE2" w:rsidRDefault="00BA7DE2" w:rsidP="00BA7DE2">
      <w:pPr>
        <w:rPr>
          <w:rFonts w:eastAsia="MS Mincho"/>
        </w:rPr>
      </w:pPr>
      <w:r>
        <w:rPr>
          <w:rFonts w:eastAsia="MS Mincho"/>
          <w:b/>
          <w:bCs/>
        </w:rPr>
        <w:t xml:space="preserve">FACILITIES MASTER </w:t>
      </w:r>
      <w:proofErr w:type="gramStart"/>
      <w:r>
        <w:rPr>
          <w:rFonts w:eastAsia="MS Mincho"/>
          <w:b/>
          <w:bCs/>
        </w:rPr>
        <w:t>PLAN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7FB60F79" w14:textId="77777777" w:rsidR="00BA7DE2" w:rsidRDefault="00BA7DE2" w:rsidP="00BA7DE2">
      <w:pPr>
        <w:rPr>
          <w:rFonts w:eastAsia="MS Mincho"/>
        </w:rPr>
      </w:pPr>
    </w:p>
    <w:p w14:paraId="067C82E1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71B5B732" w14:textId="77777777" w:rsidR="00BA7DE2" w:rsidRDefault="00BA7DE2" w:rsidP="00BA7DE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6341E19D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16011 Long range comprehensive master plan</w:t>
      </w:r>
    </w:p>
    <w:p w14:paraId="717925F7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16322  Department</w:t>
      </w:r>
      <w:proofErr w:type="gramEnd"/>
      <w:r>
        <w:rPr>
          <w:rFonts w:eastAsia="MS Mincho"/>
          <w:i/>
          <w:sz w:val="20"/>
        </w:rPr>
        <w:t xml:space="preserve"> of Education services</w:t>
      </w:r>
    </w:p>
    <w:p w14:paraId="4FB25E14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17017.5  Approval</w:t>
      </w:r>
      <w:proofErr w:type="gramEnd"/>
      <w:r>
        <w:rPr>
          <w:rFonts w:eastAsia="MS Mincho"/>
          <w:i/>
          <w:sz w:val="20"/>
        </w:rPr>
        <w:t xml:space="preserve"> of applications for projects</w:t>
      </w:r>
    </w:p>
    <w:p w14:paraId="08D00E18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17251 Powers and duties of CDE</w:t>
      </w:r>
    </w:p>
    <w:p w14:paraId="30B9669E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17260-17268 Plans of schoolhouses</w:t>
      </w:r>
    </w:p>
    <w:p w14:paraId="53A28234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17280-17317 Field Act</w:t>
      </w:r>
    </w:p>
    <w:p w14:paraId="1C69F7AF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17365-17374 Fitness for occupancy</w:t>
      </w:r>
    </w:p>
    <w:p w14:paraId="284FB28B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17405 Relocatable structures; lease requirements</w:t>
      </w:r>
    </w:p>
    <w:p w14:paraId="14813A4B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35275  New</w:t>
      </w:r>
      <w:proofErr w:type="gramEnd"/>
      <w:r>
        <w:rPr>
          <w:rFonts w:eastAsia="MS Mincho"/>
          <w:i/>
          <w:sz w:val="20"/>
        </w:rPr>
        <w:t xml:space="preserve"> school planning; cooperation with recreation and park authorities</w:t>
      </w:r>
    </w:p>
    <w:p w14:paraId="3CA600C6" w14:textId="77777777" w:rsidR="00BA7DE2" w:rsidRDefault="00BA7DE2" w:rsidP="00BA7DE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GOVERNMENT CODE</w:t>
      </w:r>
    </w:p>
    <w:p w14:paraId="4778883E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53090-53097.</w:t>
      </w:r>
      <w:proofErr w:type="gramStart"/>
      <w:r>
        <w:rPr>
          <w:rFonts w:eastAsia="MS Mincho"/>
          <w:i/>
          <w:sz w:val="20"/>
        </w:rPr>
        <w:t>5  Regulation</w:t>
      </w:r>
      <w:proofErr w:type="gramEnd"/>
      <w:r>
        <w:rPr>
          <w:rFonts w:eastAsia="MS Mincho"/>
          <w:i/>
          <w:sz w:val="20"/>
        </w:rPr>
        <w:t xml:space="preserve"> of local agencies by counties and cities</w:t>
      </w:r>
    </w:p>
    <w:p w14:paraId="760F83F8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65352.2 Communicating and coordinating of school </w:t>
      </w:r>
      <w:proofErr w:type="gramStart"/>
      <w:r>
        <w:rPr>
          <w:rFonts w:eastAsia="MS Mincho"/>
          <w:i/>
          <w:sz w:val="20"/>
        </w:rPr>
        <w:t>sites</w:t>
      </w:r>
      <w:proofErr w:type="gramEnd"/>
    </w:p>
    <w:p w14:paraId="4C46ABF1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65995.6  School</w:t>
      </w:r>
      <w:proofErr w:type="gramEnd"/>
      <w:r>
        <w:rPr>
          <w:rFonts w:eastAsia="MS Mincho"/>
          <w:i/>
          <w:sz w:val="20"/>
        </w:rPr>
        <w:t xml:space="preserve"> facilities needs analysis</w:t>
      </w:r>
    </w:p>
    <w:p w14:paraId="4E3F174A" w14:textId="77777777" w:rsidR="00BA7DE2" w:rsidRDefault="00BA7DE2" w:rsidP="00BA7DE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CODE OF REGULATIONS, TITLE 5</w:t>
      </w:r>
    </w:p>
    <w:p w14:paraId="656D4A72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14001  Minimum</w:t>
      </w:r>
      <w:proofErr w:type="gramEnd"/>
      <w:r>
        <w:rPr>
          <w:rFonts w:eastAsia="MS Mincho"/>
          <w:i/>
          <w:sz w:val="20"/>
        </w:rPr>
        <w:t xml:space="preserve"> standards</w:t>
      </w:r>
    </w:p>
    <w:p w14:paraId="2CCDEC14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14030-</w:t>
      </w:r>
      <w:proofErr w:type="gramStart"/>
      <w:r>
        <w:rPr>
          <w:rFonts w:eastAsia="MS Mincho"/>
          <w:i/>
          <w:sz w:val="20"/>
        </w:rPr>
        <w:t>14036  Standards</w:t>
      </w:r>
      <w:proofErr w:type="gramEnd"/>
      <w:r>
        <w:rPr>
          <w:rFonts w:eastAsia="MS Mincho"/>
          <w:i/>
          <w:sz w:val="20"/>
        </w:rPr>
        <w:t>, planning and approval of school facilities</w:t>
      </w:r>
    </w:p>
    <w:p w14:paraId="72E68DFC" w14:textId="77777777" w:rsidR="00BA7DE2" w:rsidRDefault="00BA7DE2" w:rsidP="00BA7DE2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42</w:t>
      </w:r>
    </w:p>
    <w:p w14:paraId="11E1EAC5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12101-</w:t>
      </w:r>
      <w:proofErr w:type="gramStart"/>
      <w:r>
        <w:rPr>
          <w:rFonts w:eastAsia="MS Mincho"/>
          <w:i/>
          <w:sz w:val="20"/>
        </w:rPr>
        <w:t>12213  Americans</w:t>
      </w:r>
      <w:proofErr w:type="gramEnd"/>
      <w:r>
        <w:rPr>
          <w:rFonts w:eastAsia="MS Mincho"/>
          <w:i/>
          <w:sz w:val="20"/>
        </w:rPr>
        <w:t xml:space="preserve"> with Disabilities Act</w:t>
      </w:r>
    </w:p>
    <w:p w14:paraId="291D59BD" w14:textId="77777777" w:rsidR="00BA7DE2" w:rsidRDefault="00BA7DE2" w:rsidP="00BA7DE2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66086493" w14:textId="77777777" w:rsidR="00BA7DE2" w:rsidRDefault="00BA7DE2" w:rsidP="00BA7DE2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WEB SITES</w:t>
      </w:r>
    </w:p>
    <w:p w14:paraId="6B074F17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Office of </w:t>
      </w:r>
      <w:proofErr w:type="gramStart"/>
      <w:r>
        <w:rPr>
          <w:rFonts w:eastAsia="MS Mincho"/>
          <w:i/>
          <w:sz w:val="20"/>
        </w:rPr>
        <w:t>Public School</w:t>
      </w:r>
      <w:proofErr w:type="gramEnd"/>
      <w:r>
        <w:rPr>
          <w:rFonts w:eastAsia="MS Mincho"/>
          <w:i/>
          <w:sz w:val="20"/>
        </w:rPr>
        <w:t xml:space="preserve"> Construction:  http://www.opsc.dgs.ca.gov</w:t>
      </w:r>
    </w:p>
    <w:p w14:paraId="12721095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CDE, School Facilities Division:  http://www.cde.ca.gov/facilities</w:t>
      </w:r>
    </w:p>
    <w:p w14:paraId="3CF2D4E8" w14:textId="77777777" w:rsidR="00BA7DE2" w:rsidRDefault="00BA7DE2" w:rsidP="00BA7DE2">
      <w:pPr>
        <w:ind w:left="720"/>
        <w:jc w:val="left"/>
        <w:rPr>
          <w:rFonts w:eastAsia="MS Mincho"/>
          <w:i/>
          <w:sz w:val="20"/>
        </w:rPr>
      </w:pPr>
    </w:p>
    <w:p w14:paraId="4ADEABA3" w14:textId="77777777" w:rsidR="00BA7DE2" w:rsidRDefault="00BA7DE2" w:rsidP="00BA7DE2">
      <w:pPr>
        <w:rPr>
          <w:rFonts w:eastAsia="MS Mincho"/>
        </w:rPr>
      </w:pPr>
    </w:p>
    <w:p w14:paraId="5B6B6082" w14:textId="77777777" w:rsidR="00BA7DE2" w:rsidRDefault="00BA7DE2" w:rsidP="00BA7DE2">
      <w:pPr>
        <w:rPr>
          <w:rFonts w:eastAsia="MS Mincho"/>
        </w:rPr>
      </w:pPr>
    </w:p>
    <w:p w14:paraId="41624254" w14:textId="77777777" w:rsidR="00BA7DE2" w:rsidRDefault="00BA7DE2" w:rsidP="00BA7DE2">
      <w:pPr>
        <w:rPr>
          <w:rFonts w:eastAsia="MS Mincho"/>
        </w:rPr>
      </w:pPr>
    </w:p>
    <w:p w14:paraId="719767F4" w14:textId="77777777" w:rsidR="00BA7DE2" w:rsidRDefault="00BA7DE2" w:rsidP="00BA7DE2">
      <w:pPr>
        <w:rPr>
          <w:rFonts w:eastAsia="MS Mincho"/>
        </w:rPr>
      </w:pPr>
    </w:p>
    <w:p w14:paraId="587BFADE" w14:textId="77777777" w:rsidR="00BA7DE2" w:rsidRDefault="00BA7DE2" w:rsidP="00BA7DE2">
      <w:pPr>
        <w:rPr>
          <w:rFonts w:eastAsia="MS Mincho"/>
        </w:rPr>
      </w:pPr>
    </w:p>
    <w:p w14:paraId="275400F9" w14:textId="77777777" w:rsidR="00BA7DE2" w:rsidRDefault="00BA7DE2" w:rsidP="00BA7DE2">
      <w:pPr>
        <w:rPr>
          <w:rFonts w:eastAsia="MS Mincho"/>
        </w:rPr>
      </w:pPr>
    </w:p>
    <w:p w14:paraId="5CB620A1" w14:textId="77777777" w:rsidR="00BA7DE2" w:rsidRDefault="00BA7DE2" w:rsidP="00BA7DE2">
      <w:pPr>
        <w:rPr>
          <w:rFonts w:eastAsia="MS Mincho"/>
        </w:rPr>
      </w:pPr>
    </w:p>
    <w:p w14:paraId="520EA7F7" w14:textId="77777777" w:rsidR="00BA7DE2" w:rsidRDefault="00BA7DE2" w:rsidP="00BA7DE2">
      <w:pPr>
        <w:rPr>
          <w:rFonts w:eastAsia="MS Mincho"/>
        </w:rPr>
      </w:pPr>
    </w:p>
    <w:p w14:paraId="174E82A7" w14:textId="77777777" w:rsidR="00BA7DE2" w:rsidRDefault="00BA7DE2" w:rsidP="00BA7DE2">
      <w:pPr>
        <w:rPr>
          <w:rFonts w:eastAsia="MS Mincho"/>
        </w:rPr>
      </w:pPr>
    </w:p>
    <w:p w14:paraId="39F704EE" w14:textId="77777777" w:rsidR="00BA7DE2" w:rsidRDefault="00BA7DE2" w:rsidP="00BA7DE2">
      <w:pPr>
        <w:rPr>
          <w:rFonts w:eastAsia="MS Mincho"/>
        </w:rPr>
      </w:pPr>
    </w:p>
    <w:p w14:paraId="5484E425" w14:textId="77777777" w:rsidR="00BA7DE2" w:rsidRDefault="00BA7DE2" w:rsidP="00BA7DE2">
      <w:pPr>
        <w:rPr>
          <w:rFonts w:eastAsia="MS Mincho"/>
        </w:rPr>
      </w:pPr>
    </w:p>
    <w:p w14:paraId="09313670" w14:textId="77777777" w:rsidR="00BA7DE2" w:rsidRDefault="00BA7DE2" w:rsidP="00BA7DE2">
      <w:pPr>
        <w:rPr>
          <w:rFonts w:eastAsia="MS Mincho"/>
        </w:rPr>
      </w:pPr>
    </w:p>
    <w:p w14:paraId="1B187E63" w14:textId="77777777" w:rsidR="00BA7DE2" w:rsidRDefault="00BA7DE2" w:rsidP="00BA7DE2">
      <w:pPr>
        <w:rPr>
          <w:rFonts w:eastAsia="MS Mincho"/>
        </w:rPr>
      </w:pPr>
    </w:p>
    <w:p w14:paraId="691FA36D" w14:textId="77777777" w:rsidR="00BA7DE2" w:rsidRDefault="00BA7DE2" w:rsidP="00BA7DE2">
      <w:pPr>
        <w:rPr>
          <w:rFonts w:eastAsia="MS Mincho"/>
        </w:rPr>
      </w:pPr>
    </w:p>
    <w:p w14:paraId="400215BE" w14:textId="77777777" w:rsidR="00BA7DE2" w:rsidRDefault="00BA7DE2" w:rsidP="00BA7DE2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A7DE2" w14:paraId="1782B2EF" w14:textId="77777777" w:rsidTr="00BA7DE2">
        <w:tc>
          <w:tcPr>
            <w:tcW w:w="4675" w:type="dxa"/>
          </w:tcPr>
          <w:p w14:paraId="4A57329E" w14:textId="77777777" w:rsidR="00BA7DE2" w:rsidRDefault="00BA7DE2" w:rsidP="00BA7DE2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07B1C13A" w14:textId="1D45CBBA" w:rsidR="00BA7DE2" w:rsidRDefault="00BA7DE2" w:rsidP="00BA7DE2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June 17, 2008</w:t>
            </w:r>
          </w:p>
          <w:p w14:paraId="145E83EA" w14:textId="76F8CBA4" w:rsidR="00BA7DE2" w:rsidRDefault="00BA7DE2" w:rsidP="00BA7DE2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11, 2024</w:t>
            </w:r>
          </w:p>
        </w:tc>
        <w:tc>
          <w:tcPr>
            <w:tcW w:w="4675" w:type="dxa"/>
          </w:tcPr>
          <w:p w14:paraId="7A5EFE4C" w14:textId="77777777" w:rsidR="00BA7DE2" w:rsidRPr="00BA7DE2" w:rsidRDefault="00BA7DE2" w:rsidP="00BA7DE2">
            <w:pPr>
              <w:jc w:val="right"/>
              <w:rPr>
                <w:rFonts w:eastAsia="MS Mincho"/>
                <w:b/>
                <w:bCs/>
              </w:rPr>
            </w:pPr>
            <w:r w:rsidRPr="00BA7DE2">
              <w:rPr>
                <w:rFonts w:eastAsia="MS Mincho"/>
                <w:b/>
                <w:bCs/>
              </w:rPr>
              <w:t>COLLEGE AND CAREER ADVANTAGE</w:t>
            </w:r>
          </w:p>
          <w:p w14:paraId="08F76FA5" w14:textId="6FC637A3" w:rsidR="00BA7DE2" w:rsidRDefault="00BA7DE2" w:rsidP="00BA7DE2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B08F690" w14:textId="77777777" w:rsidR="00BA7DE2" w:rsidRDefault="00BA7DE2" w:rsidP="00BA7DE2">
      <w:pPr>
        <w:rPr>
          <w:rFonts w:eastAsia="MS Mincho"/>
        </w:rPr>
      </w:pPr>
    </w:p>
    <w:sectPr w:rsidR="00BA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2"/>
    <w:rsid w:val="000F231F"/>
    <w:rsid w:val="00B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C700"/>
  <w15:chartTrackingRefBased/>
  <w15:docId w15:val="{9D8D0A88-95FA-497A-A1C6-163B555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E2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DE2"/>
    <w:pPr>
      <w:keepNext/>
      <w:keepLines/>
      <w:tabs>
        <w:tab w:val="clear" w:pos="9000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E2"/>
    <w:pPr>
      <w:keepNext/>
      <w:keepLines/>
      <w:tabs>
        <w:tab w:val="clear" w:pos="9000"/>
      </w:tabs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E2"/>
    <w:pPr>
      <w:keepNext/>
      <w:keepLines/>
      <w:tabs>
        <w:tab w:val="clear" w:pos="9000"/>
      </w:tabs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E2"/>
    <w:pPr>
      <w:keepNext/>
      <w:keepLines/>
      <w:tabs>
        <w:tab w:val="clear" w:pos="9000"/>
      </w:tabs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E2"/>
    <w:pPr>
      <w:tabs>
        <w:tab w:val="clear" w:pos="9000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E2"/>
    <w:pPr>
      <w:numPr>
        <w:ilvl w:val="1"/>
      </w:numPr>
      <w:tabs>
        <w:tab w:val="clear" w:pos="9000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E2"/>
    <w:pPr>
      <w:tabs>
        <w:tab w:val="clear" w:pos="9000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7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E2"/>
    <w:pPr>
      <w:tabs>
        <w:tab w:val="clear" w:pos="900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7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00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2349</Characters>
  <Application>Microsoft Office Word</Application>
  <DocSecurity>0</DocSecurity>
  <Lines>19</Lines>
  <Paragraphs>5</Paragraphs>
  <ScaleCrop>false</ScaleCrop>
  <Company>Capistrano Unified School District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2024-01-10T23:07:00Z</dcterms:created>
  <dcterms:modified xsi:type="dcterms:W3CDTF">2024-01-10T23:15:00Z</dcterms:modified>
</cp:coreProperties>
</file>